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EDCD0" w14:textId="5BC4DF3D" w:rsidR="004E1B34" w:rsidRDefault="003C2851">
      <w:pPr>
        <w:rPr>
          <w:noProof/>
          <w:szCs w:val="24"/>
        </w:rPr>
      </w:pPr>
      <w:r>
        <w:rPr>
          <w:noProof/>
          <w:szCs w:val="24"/>
        </w:rPr>
        <w:drawing>
          <wp:inline distT="0" distB="0" distL="0" distR="0" wp14:anchorId="2AB51621" wp14:editId="098E99C9">
            <wp:extent cx="594360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letterhead.bmp"/>
                    <pic:cNvPicPr/>
                  </pic:nvPicPr>
                  <pic:blipFill>
                    <a:blip r:embed="rId6">
                      <a:extLst>
                        <a:ext uri="{28A0092B-C50C-407E-A947-70E740481C1C}">
                          <a14:useLocalDpi xmlns:a14="http://schemas.microsoft.com/office/drawing/2010/main" val="0"/>
                        </a:ext>
                      </a:extLst>
                    </a:blip>
                    <a:stretch>
                      <a:fillRect/>
                    </a:stretch>
                  </pic:blipFill>
                  <pic:spPr>
                    <a:xfrm>
                      <a:off x="0" y="0"/>
                      <a:ext cx="5943600" cy="935990"/>
                    </a:xfrm>
                    <a:prstGeom prst="rect">
                      <a:avLst/>
                    </a:prstGeom>
                  </pic:spPr>
                </pic:pic>
              </a:graphicData>
            </a:graphic>
          </wp:inline>
        </w:drawing>
      </w:r>
    </w:p>
    <w:p w14:paraId="02014EBC" w14:textId="77777777" w:rsidR="00725512" w:rsidRPr="00E12FE4" w:rsidRDefault="00725512">
      <w:pPr>
        <w:rPr>
          <w:szCs w:val="24"/>
        </w:rPr>
      </w:pPr>
    </w:p>
    <w:p w14:paraId="2ED653D7" w14:textId="77777777" w:rsidR="00AE5D31" w:rsidRPr="00E12FE4" w:rsidRDefault="00AE5D31">
      <w:pPr>
        <w:rPr>
          <w:szCs w:val="24"/>
        </w:rPr>
      </w:pPr>
      <w:bookmarkStart w:id="0" w:name="_GoBack"/>
      <w:bookmarkEnd w:id="0"/>
    </w:p>
    <w:p w14:paraId="6F5B198C" w14:textId="77777777" w:rsidR="00237028" w:rsidRDefault="00237028">
      <w:pPr>
        <w:rPr>
          <w:szCs w:val="24"/>
        </w:rPr>
      </w:pPr>
    </w:p>
    <w:p w14:paraId="14F003C7" w14:textId="49893E74" w:rsidR="000F6A60" w:rsidRPr="00E12FE4" w:rsidRDefault="00850D02">
      <w:pPr>
        <w:rPr>
          <w:szCs w:val="24"/>
        </w:rPr>
      </w:pPr>
      <w:r>
        <w:rPr>
          <w:szCs w:val="24"/>
        </w:rPr>
        <w:t>September</w:t>
      </w:r>
      <w:r w:rsidR="00521E08">
        <w:rPr>
          <w:szCs w:val="24"/>
        </w:rPr>
        <w:t xml:space="preserve"> 22</w:t>
      </w:r>
      <w:r w:rsidR="00725512">
        <w:rPr>
          <w:szCs w:val="24"/>
        </w:rPr>
        <w:t>, 2019</w:t>
      </w:r>
    </w:p>
    <w:p w14:paraId="56CD9CC5" w14:textId="77777777" w:rsidR="004E1B34" w:rsidRPr="00E12FE4" w:rsidRDefault="004E1B34">
      <w:pPr>
        <w:rPr>
          <w:szCs w:val="24"/>
        </w:rPr>
      </w:pPr>
    </w:p>
    <w:p w14:paraId="2904033D" w14:textId="18D6E6D1" w:rsidR="00E42562" w:rsidRDefault="00BB6013" w:rsidP="00E42562">
      <w:pPr>
        <w:rPr>
          <w:szCs w:val="24"/>
        </w:rPr>
      </w:pPr>
      <w:r>
        <w:rPr>
          <w:szCs w:val="24"/>
        </w:rPr>
        <w:t xml:space="preserve">Mr. </w:t>
      </w:r>
      <w:r w:rsidR="00521E08">
        <w:rPr>
          <w:szCs w:val="24"/>
        </w:rPr>
        <w:t>Robert Gaynor</w:t>
      </w:r>
      <w:r>
        <w:rPr>
          <w:szCs w:val="24"/>
        </w:rPr>
        <w:t>, Chairman</w:t>
      </w:r>
    </w:p>
    <w:p w14:paraId="19FD148D" w14:textId="77777777" w:rsidR="00BB6013" w:rsidRDefault="00BB6013" w:rsidP="00E42562">
      <w:pPr>
        <w:rPr>
          <w:szCs w:val="24"/>
        </w:rPr>
      </w:pPr>
      <w:r>
        <w:rPr>
          <w:szCs w:val="24"/>
        </w:rPr>
        <w:t>Zoning Board of Appeals</w:t>
      </w:r>
    </w:p>
    <w:p w14:paraId="4BBCC362" w14:textId="44671D7E" w:rsidR="00BB6013" w:rsidRDefault="00725512" w:rsidP="00E42562">
      <w:pPr>
        <w:rPr>
          <w:szCs w:val="24"/>
        </w:rPr>
      </w:pPr>
      <w:r>
        <w:rPr>
          <w:szCs w:val="24"/>
        </w:rPr>
        <w:t xml:space="preserve">Town of </w:t>
      </w:r>
      <w:r w:rsidR="00521E08">
        <w:rPr>
          <w:szCs w:val="24"/>
        </w:rPr>
        <w:t>Halifax</w:t>
      </w:r>
      <w:r>
        <w:rPr>
          <w:szCs w:val="24"/>
        </w:rPr>
        <w:t xml:space="preserve"> </w:t>
      </w:r>
    </w:p>
    <w:p w14:paraId="7C43B78F" w14:textId="1B741D29" w:rsidR="002C1200" w:rsidRDefault="00521E08" w:rsidP="00E42562">
      <w:pPr>
        <w:rPr>
          <w:szCs w:val="24"/>
        </w:rPr>
      </w:pPr>
      <w:r>
        <w:rPr>
          <w:szCs w:val="24"/>
        </w:rPr>
        <w:t>499 Plymouth St</w:t>
      </w:r>
    </w:p>
    <w:p w14:paraId="7A7BC9B3" w14:textId="1CE0962E" w:rsidR="002C1200" w:rsidRDefault="00521E08" w:rsidP="00E42562">
      <w:pPr>
        <w:rPr>
          <w:szCs w:val="24"/>
        </w:rPr>
      </w:pPr>
      <w:r>
        <w:rPr>
          <w:szCs w:val="24"/>
        </w:rPr>
        <w:t>Halifax</w:t>
      </w:r>
      <w:r w:rsidR="002C1200">
        <w:rPr>
          <w:szCs w:val="24"/>
        </w:rPr>
        <w:t>, MA 0</w:t>
      </w:r>
      <w:r w:rsidR="00725512">
        <w:rPr>
          <w:szCs w:val="24"/>
        </w:rPr>
        <w:t>2</w:t>
      </w:r>
      <w:r>
        <w:rPr>
          <w:szCs w:val="24"/>
        </w:rPr>
        <w:t>338</w:t>
      </w:r>
    </w:p>
    <w:p w14:paraId="23A0677C" w14:textId="77777777" w:rsidR="00BB6013" w:rsidRDefault="00BB6013" w:rsidP="00E42562">
      <w:pPr>
        <w:rPr>
          <w:szCs w:val="24"/>
        </w:rPr>
      </w:pPr>
    </w:p>
    <w:p w14:paraId="5D1D9451" w14:textId="65E53BBB" w:rsidR="002704AC" w:rsidRPr="00BB6013" w:rsidRDefault="004E1B34" w:rsidP="008D73AC">
      <w:pPr>
        <w:rPr>
          <w:b/>
          <w:bCs/>
          <w:szCs w:val="24"/>
        </w:rPr>
      </w:pPr>
      <w:r w:rsidRPr="00E12FE4">
        <w:rPr>
          <w:b/>
          <w:bCs/>
          <w:szCs w:val="24"/>
        </w:rPr>
        <w:t>RE:</w:t>
      </w:r>
      <w:r w:rsidRPr="00E12FE4">
        <w:rPr>
          <w:b/>
          <w:bCs/>
          <w:szCs w:val="24"/>
        </w:rPr>
        <w:tab/>
      </w:r>
      <w:r w:rsidR="00725512">
        <w:rPr>
          <w:b/>
          <w:bCs/>
          <w:szCs w:val="24"/>
        </w:rPr>
        <w:t>TOWN</w:t>
      </w:r>
      <w:r w:rsidR="002704AC">
        <w:rPr>
          <w:b/>
          <w:bCs/>
          <w:szCs w:val="24"/>
        </w:rPr>
        <w:t xml:space="preserve"> FEES</w:t>
      </w:r>
    </w:p>
    <w:p w14:paraId="0ABF96A4" w14:textId="2E4BC8DD" w:rsidR="008C7A2B" w:rsidRDefault="00BB6013" w:rsidP="00836FF0">
      <w:pPr>
        <w:rPr>
          <w:b/>
          <w:bCs/>
          <w:szCs w:val="24"/>
        </w:rPr>
      </w:pPr>
      <w:r>
        <w:rPr>
          <w:b/>
          <w:bCs/>
          <w:szCs w:val="24"/>
        </w:rPr>
        <w:tab/>
      </w:r>
      <w:r w:rsidR="00521E08">
        <w:rPr>
          <w:b/>
          <w:bCs/>
          <w:szCs w:val="24"/>
        </w:rPr>
        <w:t>Country Club Estates</w:t>
      </w:r>
    </w:p>
    <w:p w14:paraId="59A546E1" w14:textId="70C476CA" w:rsidR="00836FF0" w:rsidRDefault="00836FF0" w:rsidP="00836FF0">
      <w:pPr>
        <w:rPr>
          <w:b/>
          <w:bCs/>
          <w:szCs w:val="24"/>
          <w:u w:val="single"/>
        </w:rPr>
      </w:pPr>
      <w:r>
        <w:rPr>
          <w:b/>
          <w:bCs/>
          <w:szCs w:val="24"/>
        </w:rPr>
        <w:tab/>
      </w:r>
      <w:r w:rsidR="00521E08">
        <w:rPr>
          <w:b/>
          <w:bCs/>
          <w:szCs w:val="24"/>
        </w:rPr>
        <w:t>Halifax</w:t>
      </w:r>
      <w:r>
        <w:rPr>
          <w:b/>
          <w:bCs/>
          <w:szCs w:val="24"/>
        </w:rPr>
        <w:t>, MA</w:t>
      </w:r>
    </w:p>
    <w:p w14:paraId="7302CAD2" w14:textId="77777777" w:rsidR="00BB6013" w:rsidRDefault="00BB6013">
      <w:pPr>
        <w:rPr>
          <w:szCs w:val="24"/>
        </w:rPr>
      </w:pPr>
    </w:p>
    <w:p w14:paraId="4D2BD1CD" w14:textId="516B11ED" w:rsidR="004E1B34" w:rsidRPr="00E12FE4" w:rsidRDefault="004E1B34">
      <w:pPr>
        <w:rPr>
          <w:szCs w:val="24"/>
        </w:rPr>
      </w:pPr>
      <w:r w:rsidRPr="00E12FE4">
        <w:rPr>
          <w:szCs w:val="24"/>
        </w:rPr>
        <w:t xml:space="preserve">Dear </w:t>
      </w:r>
      <w:r w:rsidR="00A30C91">
        <w:rPr>
          <w:szCs w:val="24"/>
        </w:rPr>
        <w:t xml:space="preserve">Chairman </w:t>
      </w:r>
      <w:r w:rsidR="00521E08">
        <w:rPr>
          <w:szCs w:val="24"/>
        </w:rPr>
        <w:t>Gaynor</w:t>
      </w:r>
      <w:r w:rsidRPr="00E12FE4">
        <w:rPr>
          <w:szCs w:val="24"/>
        </w:rPr>
        <w:t>:</w:t>
      </w:r>
    </w:p>
    <w:p w14:paraId="251C7486" w14:textId="77777777" w:rsidR="00445678" w:rsidRDefault="00445678">
      <w:pPr>
        <w:rPr>
          <w:szCs w:val="24"/>
        </w:rPr>
      </w:pPr>
    </w:p>
    <w:p w14:paraId="4FAF045B" w14:textId="30CEEF5F" w:rsidR="00CB6ECC" w:rsidRDefault="00177372" w:rsidP="00334046">
      <w:pPr>
        <w:rPr>
          <w:szCs w:val="24"/>
        </w:rPr>
      </w:pPr>
      <w:r>
        <w:rPr>
          <w:szCs w:val="24"/>
        </w:rPr>
        <w:t>We understand</w:t>
      </w:r>
      <w:r w:rsidR="008D73AC">
        <w:rPr>
          <w:szCs w:val="24"/>
        </w:rPr>
        <w:t xml:space="preserve"> in the case of a Request for a Comprehensive Permit</w:t>
      </w:r>
      <w:r>
        <w:rPr>
          <w:szCs w:val="24"/>
        </w:rPr>
        <w:t xml:space="preserve"> that the intent of fees established by the town</w:t>
      </w:r>
      <w:r w:rsidR="008D73AC">
        <w:rPr>
          <w:szCs w:val="24"/>
        </w:rPr>
        <w:t xml:space="preserve"> to be</w:t>
      </w:r>
      <w:r>
        <w:rPr>
          <w:szCs w:val="24"/>
        </w:rPr>
        <w:t xml:space="preserve"> paid by the </w:t>
      </w:r>
      <w:r w:rsidR="00334046">
        <w:rPr>
          <w:szCs w:val="24"/>
        </w:rPr>
        <w:t>applicant</w:t>
      </w:r>
      <w:r>
        <w:rPr>
          <w:szCs w:val="24"/>
        </w:rPr>
        <w:t xml:space="preserve"> shall be used to augment any expenses incurred by the Zoning Board of Appeals</w:t>
      </w:r>
      <w:r w:rsidR="00725512">
        <w:rPr>
          <w:szCs w:val="24"/>
        </w:rPr>
        <w:t>.</w:t>
      </w:r>
    </w:p>
    <w:p w14:paraId="0847026F" w14:textId="77777777" w:rsidR="00CB6ECC" w:rsidRDefault="00CB6ECC">
      <w:pPr>
        <w:rPr>
          <w:szCs w:val="24"/>
        </w:rPr>
      </w:pPr>
    </w:p>
    <w:p w14:paraId="27351AF7" w14:textId="66B0E5D3" w:rsidR="00501239" w:rsidRDefault="00177372">
      <w:pPr>
        <w:rPr>
          <w:szCs w:val="24"/>
        </w:rPr>
      </w:pPr>
      <w:r>
        <w:rPr>
          <w:szCs w:val="24"/>
        </w:rPr>
        <w:t>Pursuant to the terms of 760 C.M.R 56</w:t>
      </w:r>
      <w:r w:rsidR="0031149D">
        <w:rPr>
          <w:szCs w:val="24"/>
        </w:rPr>
        <w:t xml:space="preserve">.05 (5) (a), so called </w:t>
      </w:r>
      <w:r w:rsidR="00501239">
        <w:rPr>
          <w:szCs w:val="24"/>
        </w:rPr>
        <w:t>“</w:t>
      </w:r>
      <w:r w:rsidR="0031149D">
        <w:rPr>
          <w:szCs w:val="24"/>
        </w:rPr>
        <w:t>Consultant Review</w:t>
      </w:r>
      <w:r w:rsidR="00501239">
        <w:rPr>
          <w:szCs w:val="24"/>
        </w:rPr>
        <w:t xml:space="preserve">” first depends upon a determination by the board that it requires technical </w:t>
      </w:r>
      <w:proofErr w:type="spellStart"/>
      <w:r w:rsidR="00501239">
        <w:rPr>
          <w:szCs w:val="24"/>
        </w:rPr>
        <w:t>advi</w:t>
      </w:r>
      <w:r w:rsidR="00676AA4">
        <w:rPr>
          <w:szCs w:val="24"/>
        </w:rPr>
        <w:t>s</w:t>
      </w:r>
      <w:r w:rsidR="00501239">
        <w:rPr>
          <w:szCs w:val="24"/>
        </w:rPr>
        <w:t>e</w:t>
      </w:r>
      <w:proofErr w:type="spellEnd"/>
      <w:r w:rsidR="00CB6ECC">
        <w:rPr>
          <w:szCs w:val="24"/>
        </w:rPr>
        <w:t>…</w:t>
      </w:r>
      <w:r w:rsidR="00501239">
        <w:rPr>
          <w:szCs w:val="24"/>
        </w:rPr>
        <w:t xml:space="preserve"> </w:t>
      </w:r>
      <w:r w:rsidR="00CB6ECC">
        <w:rPr>
          <w:szCs w:val="24"/>
        </w:rPr>
        <w:t>“</w:t>
      </w:r>
      <w:r w:rsidR="00501239" w:rsidRPr="00501239">
        <w:rPr>
          <w:szCs w:val="24"/>
          <w:u w:val="single"/>
        </w:rPr>
        <w:t>unavailable from municipal services</w:t>
      </w:r>
      <w:r w:rsidR="00CB6ECC">
        <w:rPr>
          <w:szCs w:val="24"/>
          <w:u w:val="single"/>
        </w:rPr>
        <w:t>”</w:t>
      </w:r>
      <w:r w:rsidR="00501239">
        <w:rPr>
          <w:szCs w:val="24"/>
        </w:rPr>
        <w:t xml:space="preserve"> (emphasis added).  The permissible types of technical </w:t>
      </w:r>
      <w:proofErr w:type="spellStart"/>
      <w:r w:rsidR="00501239">
        <w:rPr>
          <w:szCs w:val="24"/>
        </w:rPr>
        <w:t>advise</w:t>
      </w:r>
      <w:proofErr w:type="spellEnd"/>
      <w:r w:rsidR="00501239">
        <w:rPr>
          <w:szCs w:val="24"/>
        </w:rPr>
        <w:t xml:space="preserve"> are then specifically delineated as “civil engineering, transportation, environmental resources, design review of buildings and site and…. review of financial statements”.  Upon such a formal determination the board is then directed to “work cooperatively with the applicant to identity appropriate consultants and scopes of work and to negotiate payment of part </w:t>
      </w:r>
      <w:r w:rsidR="00F776D1">
        <w:rPr>
          <w:szCs w:val="24"/>
        </w:rPr>
        <w:t>or all</w:t>
      </w:r>
      <w:r w:rsidR="00501239">
        <w:rPr>
          <w:szCs w:val="24"/>
        </w:rPr>
        <w:t xml:space="preserve"> of the consultant fees by the Applicant.”</w:t>
      </w:r>
    </w:p>
    <w:p w14:paraId="3B5849E0" w14:textId="77777777" w:rsidR="00501239" w:rsidRDefault="00501239">
      <w:pPr>
        <w:rPr>
          <w:szCs w:val="24"/>
        </w:rPr>
      </w:pPr>
    </w:p>
    <w:p w14:paraId="4516EF8A" w14:textId="1C7CB8DF" w:rsidR="00501239" w:rsidRDefault="00501239" w:rsidP="00334046">
      <w:pPr>
        <w:rPr>
          <w:szCs w:val="24"/>
          <w:u w:val="single"/>
        </w:rPr>
      </w:pPr>
      <w:r>
        <w:rPr>
          <w:szCs w:val="24"/>
        </w:rPr>
        <w:t xml:space="preserve">Moreover, the board may impose a review fee </w:t>
      </w:r>
      <w:r w:rsidR="00334046">
        <w:rPr>
          <w:szCs w:val="24"/>
        </w:rPr>
        <w:t>similar to the planning board fees charged for a subdivision of similar size</w:t>
      </w:r>
      <w:r w:rsidR="00725512">
        <w:rPr>
          <w:szCs w:val="24"/>
        </w:rPr>
        <w:t xml:space="preserve"> and no more</w:t>
      </w:r>
      <w:r w:rsidR="00334046">
        <w:rPr>
          <w:szCs w:val="24"/>
        </w:rPr>
        <w:t>. T</w:t>
      </w:r>
      <w:r>
        <w:rPr>
          <w:szCs w:val="24"/>
        </w:rPr>
        <w:t xml:space="preserve">he consultant </w:t>
      </w:r>
      <w:r w:rsidR="00334046">
        <w:rPr>
          <w:szCs w:val="24"/>
        </w:rPr>
        <w:t xml:space="preserve">may review </w:t>
      </w:r>
      <w:r>
        <w:rPr>
          <w:szCs w:val="24"/>
        </w:rPr>
        <w:t xml:space="preserve">studies prepared on behalf of the </w:t>
      </w:r>
      <w:r w:rsidR="00CB6ECC">
        <w:rPr>
          <w:szCs w:val="24"/>
        </w:rPr>
        <w:t>A</w:t>
      </w:r>
      <w:r>
        <w:rPr>
          <w:szCs w:val="24"/>
        </w:rPr>
        <w:t xml:space="preserve">pplicant and in connection with the Applicant’s specific project, and any fees charged may not exceed those of “similar consultants in the area.”. </w:t>
      </w:r>
    </w:p>
    <w:p w14:paraId="1BF060D2" w14:textId="77777777" w:rsidR="00501239" w:rsidRDefault="00501239">
      <w:pPr>
        <w:rPr>
          <w:szCs w:val="24"/>
          <w:u w:val="single"/>
        </w:rPr>
      </w:pPr>
    </w:p>
    <w:p w14:paraId="6FBF0A0A" w14:textId="77777777" w:rsidR="00190D19" w:rsidRDefault="00501239" w:rsidP="00334046">
      <w:pPr>
        <w:rPr>
          <w:szCs w:val="24"/>
        </w:rPr>
      </w:pPr>
      <w:r w:rsidRPr="006426D2">
        <w:rPr>
          <w:b/>
          <w:szCs w:val="24"/>
          <w:u w:val="single"/>
        </w:rPr>
        <w:t xml:space="preserve">The fees being submitted shall not and cannot be used for </w:t>
      </w:r>
      <w:r w:rsidR="00F776D1" w:rsidRPr="006426D2">
        <w:rPr>
          <w:b/>
          <w:szCs w:val="24"/>
          <w:u w:val="single"/>
        </w:rPr>
        <w:t xml:space="preserve">legal </w:t>
      </w:r>
      <w:r w:rsidRPr="006426D2">
        <w:rPr>
          <w:b/>
          <w:szCs w:val="24"/>
          <w:u w:val="single"/>
        </w:rPr>
        <w:t>fee</w:t>
      </w:r>
      <w:r w:rsidR="00F776D1" w:rsidRPr="006426D2">
        <w:rPr>
          <w:b/>
          <w:szCs w:val="24"/>
          <w:u w:val="single"/>
        </w:rPr>
        <w:t>s</w:t>
      </w:r>
      <w:r w:rsidRPr="006426D2">
        <w:rPr>
          <w:b/>
          <w:szCs w:val="24"/>
          <w:u w:val="single"/>
        </w:rPr>
        <w:t>.</w:t>
      </w:r>
      <w:r>
        <w:rPr>
          <w:szCs w:val="24"/>
        </w:rPr>
        <w:t xml:space="preserve">  The portion of the Regulation that addresses legal fees provides an expressed probation against imposition of legal fees for general presentation of the board.  </w:t>
      </w:r>
      <w:r w:rsidR="00082D40">
        <w:rPr>
          <w:szCs w:val="24"/>
        </w:rPr>
        <w:t>I</w:t>
      </w:r>
      <w:r>
        <w:rPr>
          <w:szCs w:val="24"/>
        </w:rPr>
        <w:t>n the</w:t>
      </w:r>
      <w:r w:rsidR="00082D40">
        <w:rPr>
          <w:szCs w:val="24"/>
        </w:rPr>
        <w:t xml:space="preserve"> June 25, 2007,</w:t>
      </w:r>
      <w:r>
        <w:rPr>
          <w:szCs w:val="24"/>
        </w:rPr>
        <w:t xml:space="preserve"> case issued by the Housing Appeals Committees </w:t>
      </w:r>
      <w:r w:rsidRPr="00501239">
        <w:rPr>
          <w:szCs w:val="24"/>
          <w:u w:val="single"/>
        </w:rPr>
        <w:t>Autumnwood</w:t>
      </w:r>
      <w:r>
        <w:rPr>
          <w:szCs w:val="24"/>
        </w:rPr>
        <w:t xml:space="preserve"> decision</w:t>
      </w:r>
      <w:r w:rsidR="00082D40">
        <w:rPr>
          <w:szCs w:val="24"/>
        </w:rPr>
        <w:t xml:space="preserve">, </w:t>
      </w:r>
      <w:r w:rsidR="008C7A2B">
        <w:rPr>
          <w:szCs w:val="24"/>
        </w:rPr>
        <w:t xml:space="preserve"> </w:t>
      </w:r>
      <w:r w:rsidR="00275068">
        <w:rPr>
          <w:szCs w:val="24"/>
        </w:rPr>
        <w:t>that decision</w:t>
      </w:r>
      <w:r w:rsidR="00082D40">
        <w:rPr>
          <w:szCs w:val="24"/>
        </w:rPr>
        <w:t xml:space="preserve"> appears</w:t>
      </w:r>
      <w:r w:rsidR="00275068">
        <w:rPr>
          <w:szCs w:val="24"/>
        </w:rPr>
        <w:t xml:space="preserve"> to inappropriately ignore the plain distinction between attorneys and other technical consultants drawn by the regulation, it to raises significant concerns.  </w:t>
      </w:r>
      <w:r w:rsidR="00CB6ECC">
        <w:rPr>
          <w:szCs w:val="24"/>
        </w:rPr>
        <w:t xml:space="preserve">In the </w:t>
      </w:r>
      <w:r w:rsidR="00CB6ECC" w:rsidRPr="00CE3ABF">
        <w:rPr>
          <w:szCs w:val="24"/>
          <w:u w:val="single"/>
        </w:rPr>
        <w:t>Autumnwood</w:t>
      </w:r>
      <w:r w:rsidR="00CB6ECC">
        <w:rPr>
          <w:szCs w:val="24"/>
        </w:rPr>
        <w:t xml:space="preserve"> case the committees expansive reading of the </w:t>
      </w:r>
      <w:r w:rsidR="00CB6ECC">
        <w:rPr>
          <w:szCs w:val="24"/>
        </w:rPr>
        <w:lastRenderedPageBreak/>
        <w:t xml:space="preserve">Regulation limits reimbursement of </w:t>
      </w:r>
      <w:proofErr w:type="spellStart"/>
      <w:r w:rsidR="00CB6ECC">
        <w:rPr>
          <w:szCs w:val="24"/>
        </w:rPr>
        <w:t>attorneys</w:t>
      </w:r>
      <w:proofErr w:type="spellEnd"/>
      <w:r w:rsidR="00CB6ECC">
        <w:rPr>
          <w:szCs w:val="24"/>
        </w:rPr>
        <w:t xml:space="preserve"> fees to “only fees for technical review of legal documents prepared by the developer, review of legal opinions prepared by the developer’s counsel or other similar peer review”. </w:t>
      </w:r>
      <w:r w:rsidR="00082D40">
        <w:rPr>
          <w:szCs w:val="24"/>
        </w:rPr>
        <w:t>However, s</w:t>
      </w:r>
      <w:r w:rsidR="00275068">
        <w:rPr>
          <w:szCs w:val="24"/>
        </w:rPr>
        <w:t xml:space="preserve">ince that decision date the Department of Housing and Community Development had issued the new Comprehensive Permit Regulations </w:t>
      </w:r>
      <w:r w:rsidR="00275068" w:rsidRPr="006426D2">
        <w:rPr>
          <w:b/>
          <w:szCs w:val="24"/>
          <w:u w:val="single"/>
        </w:rPr>
        <w:t>760 CMR 56</w:t>
      </w:r>
      <w:r w:rsidR="00082D40" w:rsidRPr="006426D2">
        <w:rPr>
          <w:b/>
          <w:szCs w:val="24"/>
          <w:u w:val="single"/>
        </w:rPr>
        <w:t xml:space="preserve"> dated February 28, 2008,</w:t>
      </w:r>
      <w:r w:rsidR="00275068" w:rsidRPr="006426D2">
        <w:rPr>
          <w:b/>
          <w:szCs w:val="24"/>
          <w:u w:val="single"/>
        </w:rPr>
        <w:t xml:space="preserve"> which once again expresses probation against imposition of legal fees for general representation by the board</w:t>
      </w:r>
      <w:r w:rsidR="00275068">
        <w:rPr>
          <w:szCs w:val="24"/>
        </w:rPr>
        <w:t xml:space="preserve">.  </w:t>
      </w:r>
    </w:p>
    <w:p w14:paraId="0EF112DA" w14:textId="77777777" w:rsidR="00190D19" w:rsidRDefault="00190D19">
      <w:pPr>
        <w:rPr>
          <w:szCs w:val="24"/>
        </w:rPr>
      </w:pPr>
    </w:p>
    <w:p w14:paraId="516CFA5A" w14:textId="77777777" w:rsidR="00190D19" w:rsidRDefault="00190D19">
      <w:pPr>
        <w:rPr>
          <w:szCs w:val="24"/>
        </w:rPr>
      </w:pPr>
      <w:r>
        <w:rPr>
          <w:szCs w:val="24"/>
        </w:rPr>
        <w:t>Therefore, at a bare minimum, before any payment is made for legal fees the board needs to receive approval from the applicant and should provide sufficient information to determine whether the fees to be charged to them are similar to those charged by other attorneys in the area and a means to which meaningfully differentiate</w:t>
      </w:r>
      <w:r w:rsidR="00CE3ABF">
        <w:rPr>
          <w:szCs w:val="24"/>
        </w:rPr>
        <w:t xml:space="preserve"> the attorneys time charges for general representation of the town in its capacity as legal counsel from the proposed charges for any so called “technical review” that may prove to be necessary.  The necessity of “detail evidence with respect to the services provided” for any meaningful subsequent review of the proposed charges is, of course, made plain by </w:t>
      </w:r>
      <w:r w:rsidR="00CE3ABF">
        <w:rPr>
          <w:szCs w:val="24"/>
          <w:u w:val="single"/>
        </w:rPr>
        <w:t>Autumnwood.</w:t>
      </w:r>
      <w:r>
        <w:rPr>
          <w:szCs w:val="24"/>
        </w:rPr>
        <w:t xml:space="preserve"> </w:t>
      </w:r>
    </w:p>
    <w:p w14:paraId="5CCD41A2" w14:textId="77777777" w:rsidR="00CE3ABF" w:rsidRDefault="00CE3ABF">
      <w:pPr>
        <w:rPr>
          <w:szCs w:val="24"/>
        </w:rPr>
      </w:pPr>
    </w:p>
    <w:p w14:paraId="495BD61E" w14:textId="77777777" w:rsidR="00CE3ABF" w:rsidRDefault="00BD389B">
      <w:pPr>
        <w:rPr>
          <w:szCs w:val="24"/>
        </w:rPr>
      </w:pPr>
      <w:r>
        <w:rPr>
          <w:szCs w:val="24"/>
        </w:rPr>
        <w:t>The town should also be made aware of the strong likelihood of waiver of any attorney-client privileges between the town and their counsel with respect to the work performed by counsel for which reimbursement is sought.  Such a waiver is supported by, among other factors, the requirement under 760 C.M.R. 56.05 (5)(b)(3) that all written results or reports muse be made part of the record before the board.</w:t>
      </w:r>
    </w:p>
    <w:p w14:paraId="633216D0" w14:textId="77777777" w:rsidR="00BD389B" w:rsidRDefault="00BD389B">
      <w:pPr>
        <w:rPr>
          <w:szCs w:val="24"/>
        </w:rPr>
      </w:pPr>
      <w:r>
        <w:rPr>
          <w:szCs w:val="24"/>
        </w:rPr>
        <w:br/>
        <w:t>The foregoing is not intended by the applicant to suggest any unwillingness, under the appropriate circumstances, to provide the board with reimbursement of reasonable and necessary outside consultant’s fee, rather, the applicant is merely concerned that it could be asked to bare cost for which is not responsible.</w:t>
      </w:r>
      <w:r w:rsidR="00C57B60">
        <w:rPr>
          <w:szCs w:val="24"/>
        </w:rPr>
        <w:t xml:space="preserve">  </w:t>
      </w:r>
    </w:p>
    <w:p w14:paraId="13A20235" w14:textId="77777777" w:rsidR="00C57B60" w:rsidRPr="00501239" w:rsidRDefault="00C57B60">
      <w:pPr>
        <w:rPr>
          <w:szCs w:val="24"/>
        </w:rPr>
      </w:pPr>
    </w:p>
    <w:p w14:paraId="493B5A29" w14:textId="77777777" w:rsidR="004E1B34" w:rsidRDefault="005F5ED0">
      <w:pPr>
        <w:rPr>
          <w:szCs w:val="24"/>
        </w:rPr>
      </w:pPr>
      <w:r>
        <w:rPr>
          <w:szCs w:val="24"/>
        </w:rPr>
        <w:t>Should you have any questions or need anything further, please do not hesitate to contact me at your convenience.</w:t>
      </w:r>
    </w:p>
    <w:p w14:paraId="04FEA580" w14:textId="77777777" w:rsidR="005F5ED0" w:rsidRDefault="005F5ED0">
      <w:pPr>
        <w:rPr>
          <w:b/>
          <w:bCs/>
          <w:szCs w:val="24"/>
        </w:rPr>
      </w:pPr>
    </w:p>
    <w:p w14:paraId="381FC15E" w14:textId="77777777" w:rsidR="00A66A53" w:rsidRPr="00A66A53" w:rsidRDefault="00A66A53">
      <w:pPr>
        <w:rPr>
          <w:bCs/>
          <w:szCs w:val="24"/>
        </w:rPr>
      </w:pPr>
      <w:r w:rsidRPr="00A66A53">
        <w:rPr>
          <w:bCs/>
          <w:szCs w:val="24"/>
        </w:rPr>
        <w:t>Thank you.</w:t>
      </w:r>
    </w:p>
    <w:p w14:paraId="354A10E2" w14:textId="77777777" w:rsidR="00A66A53" w:rsidRPr="00E12FE4" w:rsidRDefault="00A66A53">
      <w:pPr>
        <w:rPr>
          <w:b/>
          <w:bCs/>
          <w:szCs w:val="24"/>
        </w:rPr>
      </w:pPr>
    </w:p>
    <w:p w14:paraId="757690DB" w14:textId="77777777" w:rsidR="004E1B34" w:rsidRPr="00E12FE4" w:rsidRDefault="004E1B34">
      <w:pPr>
        <w:rPr>
          <w:szCs w:val="24"/>
        </w:rPr>
      </w:pPr>
      <w:r w:rsidRPr="00E12FE4">
        <w:rPr>
          <w:szCs w:val="24"/>
        </w:rPr>
        <w:t xml:space="preserve">Sincerely, </w:t>
      </w:r>
    </w:p>
    <w:p w14:paraId="60A00AD5" w14:textId="77777777" w:rsidR="004E1B34" w:rsidRPr="00E12FE4" w:rsidRDefault="004E1B34">
      <w:pPr>
        <w:rPr>
          <w:szCs w:val="24"/>
        </w:rPr>
      </w:pPr>
    </w:p>
    <w:p w14:paraId="76CC6F28" w14:textId="77777777" w:rsidR="004E1B34" w:rsidRPr="00E12FE4" w:rsidRDefault="004E1B34">
      <w:pPr>
        <w:rPr>
          <w:szCs w:val="24"/>
        </w:rPr>
      </w:pPr>
    </w:p>
    <w:p w14:paraId="1BD1534F" w14:textId="77777777" w:rsidR="004E1B34" w:rsidRPr="00E12FE4" w:rsidRDefault="004E1B34">
      <w:pPr>
        <w:rPr>
          <w:szCs w:val="24"/>
        </w:rPr>
      </w:pPr>
    </w:p>
    <w:p w14:paraId="4875C841" w14:textId="77777777" w:rsidR="004E1B34" w:rsidRPr="00E12FE4" w:rsidRDefault="004629AD">
      <w:pPr>
        <w:rPr>
          <w:szCs w:val="24"/>
        </w:rPr>
      </w:pPr>
      <w:r>
        <w:rPr>
          <w:szCs w:val="24"/>
        </w:rPr>
        <w:t xml:space="preserve">Paul E. </w:t>
      </w:r>
      <w:r w:rsidR="004E1B34" w:rsidRPr="00E12FE4">
        <w:rPr>
          <w:szCs w:val="24"/>
        </w:rPr>
        <w:t xml:space="preserve">Cusson </w:t>
      </w:r>
    </w:p>
    <w:p w14:paraId="6990352F" w14:textId="77777777" w:rsidR="004E1B34" w:rsidRPr="00E12FE4" w:rsidRDefault="004629AD">
      <w:pPr>
        <w:rPr>
          <w:szCs w:val="24"/>
        </w:rPr>
      </w:pPr>
      <w:r>
        <w:rPr>
          <w:szCs w:val="24"/>
        </w:rPr>
        <w:t>Managing Member</w:t>
      </w:r>
      <w:r w:rsidR="004E1B34" w:rsidRPr="00E12FE4">
        <w:rPr>
          <w:szCs w:val="24"/>
        </w:rPr>
        <w:t xml:space="preserve"> </w:t>
      </w:r>
    </w:p>
    <w:p w14:paraId="5C554887" w14:textId="77777777" w:rsidR="004E1B34" w:rsidRPr="00E12FE4" w:rsidRDefault="004E1B34">
      <w:pPr>
        <w:pStyle w:val="Heading1"/>
        <w:rPr>
          <w:sz w:val="24"/>
          <w:szCs w:val="24"/>
        </w:rPr>
      </w:pPr>
      <w:r w:rsidRPr="00E12FE4">
        <w:rPr>
          <w:sz w:val="24"/>
          <w:szCs w:val="24"/>
        </w:rPr>
        <w:t xml:space="preserve">DELPHIC ASSOCIATES LLC </w:t>
      </w:r>
    </w:p>
    <w:p w14:paraId="4ECC57EE" w14:textId="77777777" w:rsidR="004E1B34" w:rsidRDefault="004E1B34">
      <w:pPr>
        <w:rPr>
          <w:szCs w:val="24"/>
        </w:rPr>
      </w:pPr>
      <w:r w:rsidRPr="00E12FE4">
        <w:rPr>
          <w:szCs w:val="24"/>
        </w:rPr>
        <w:t>PEC/</w:t>
      </w:r>
      <w:proofErr w:type="spellStart"/>
      <w:r w:rsidRPr="00E12FE4">
        <w:rPr>
          <w:szCs w:val="24"/>
        </w:rPr>
        <w:t>llg</w:t>
      </w:r>
      <w:proofErr w:type="spellEnd"/>
    </w:p>
    <w:sectPr w:rsidR="004E1B34" w:rsidSect="002E39B6">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C32F" w14:textId="77777777" w:rsidR="005E3A61" w:rsidRDefault="005E3A61">
      <w:r>
        <w:separator/>
      </w:r>
    </w:p>
  </w:endnote>
  <w:endnote w:type="continuationSeparator" w:id="0">
    <w:p w14:paraId="162796A7" w14:textId="77777777" w:rsidR="005E3A61" w:rsidRDefault="005E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318D" w14:textId="77C002A2" w:rsidR="00E34F0D" w:rsidRDefault="00886751">
    <w:pPr>
      <w:pStyle w:val="Footer"/>
      <w:jc w:val="center"/>
      <w:rPr>
        <w:sz w:val="14"/>
      </w:rPr>
    </w:pPr>
    <w:r>
      <w:rPr>
        <w:sz w:val="14"/>
      </w:rPr>
      <w:fldChar w:fldCharType="begin"/>
    </w:r>
    <w:r w:rsidR="00E34F0D">
      <w:rPr>
        <w:sz w:val="14"/>
      </w:rPr>
      <w:instrText xml:space="preserve"> FILENAME \p </w:instrText>
    </w:r>
    <w:r>
      <w:rPr>
        <w:sz w:val="14"/>
      </w:rPr>
      <w:fldChar w:fldCharType="separate"/>
    </w:r>
    <w:r w:rsidR="00521E08">
      <w:rPr>
        <w:noProof/>
        <w:sz w:val="14"/>
      </w:rPr>
      <w:t>Z:\Public\DELPHIC WORD DOCS\Dighton\Strawberry Field Estates- Bisher\Comprehensive Permit Application\(ZBA) Re Fees - COMPREHENSIVE PERMIT.docx</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6415" w14:textId="45A17BDC" w:rsidR="00E34F0D" w:rsidRPr="000047C1" w:rsidRDefault="002C1200" w:rsidP="000047C1">
    <w:pPr>
      <w:pStyle w:val="Footer"/>
      <w:jc w:val="center"/>
      <w:rPr>
        <w:sz w:val="14"/>
      </w:rPr>
    </w:pPr>
    <w:r>
      <w:rPr>
        <w:noProof/>
        <w:sz w:val="14"/>
      </w:rPr>
      <w:fldChar w:fldCharType="begin"/>
    </w:r>
    <w:r>
      <w:rPr>
        <w:noProof/>
        <w:sz w:val="14"/>
      </w:rPr>
      <w:instrText xml:space="preserve"> FILENAME  \p  \* MERGEFORMAT </w:instrText>
    </w:r>
    <w:r>
      <w:rPr>
        <w:noProof/>
        <w:sz w:val="14"/>
      </w:rPr>
      <w:fldChar w:fldCharType="separate"/>
    </w:r>
    <w:r w:rsidR="00521E08">
      <w:rPr>
        <w:noProof/>
        <w:sz w:val="14"/>
      </w:rPr>
      <w:t>Z:\Public\DELPHIC WORD DOCS\Dighton\Strawberry Field Estates- Bisher\Comprehensive Permit Application\(ZBA) Re Fees - COMPREHENSIVE PERMIT.docx</w:t>
    </w:r>
    <w:r>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1536" w14:textId="77777777" w:rsidR="005E3A61" w:rsidRDefault="005E3A61">
      <w:r>
        <w:separator/>
      </w:r>
    </w:p>
  </w:footnote>
  <w:footnote w:type="continuationSeparator" w:id="0">
    <w:p w14:paraId="28F6A375" w14:textId="77777777" w:rsidR="005E3A61" w:rsidRDefault="005E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8F"/>
    <w:rsid w:val="000047C1"/>
    <w:rsid w:val="00012830"/>
    <w:rsid w:val="00021B11"/>
    <w:rsid w:val="0005299F"/>
    <w:rsid w:val="0006598F"/>
    <w:rsid w:val="000723FC"/>
    <w:rsid w:val="00082D40"/>
    <w:rsid w:val="000A57B1"/>
    <w:rsid w:val="000B5574"/>
    <w:rsid w:val="000D51ED"/>
    <w:rsid w:val="000D5C6A"/>
    <w:rsid w:val="000E02FA"/>
    <w:rsid w:val="000E2AFE"/>
    <w:rsid w:val="000F09FD"/>
    <w:rsid w:val="000F254F"/>
    <w:rsid w:val="000F6A60"/>
    <w:rsid w:val="00111A2D"/>
    <w:rsid w:val="00133AFA"/>
    <w:rsid w:val="001359BD"/>
    <w:rsid w:val="00155AA4"/>
    <w:rsid w:val="00155ADC"/>
    <w:rsid w:val="00177372"/>
    <w:rsid w:val="00182B15"/>
    <w:rsid w:val="00190D19"/>
    <w:rsid w:val="001A22E7"/>
    <w:rsid w:val="001D6FEB"/>
    <w:rsid w:val="001D7419"/>
    <w:rsid w:val="001F3651"/>
    <w:rsid w:val="001F48AB"/>
    <w:rsid w:val="001F5D9B"/>
    <w:rsid w:val="002015CD"/>
    <w:rsid w:val="002038A3"/>
    <w:rsid w:val="00235474"/>
    <w:rsid w:val="00235883"/>
    <w:rsid w:val="00237028"/>
    <w:rsid w:val="00252C7B"/>
    <w:rsid w:val="002623C9"/>
    <w:rsid w:val="002704AC"/>
    <w:rsid w:val="00275068"/>
    <w:rsid w:val="002C1200"/>
    <w:rsid w:val="002C5938"/>
    <w:rsid w:val="002C655F"/>
    <w:rsid w:val="002E39B6"/>
    <w:rsid w:val="002F1154"/>
    <w:rsid w:val="002F740C"/>
    <w:rsid w:val="00302033"/>
    <w:rsid w:val="00305B5D"/>
    <w:rsid w:val="0031048F"/>
    <w:rsid w:val="0031149D"/>
    <w:rsid w:val="00330C3E"/>
    <w:rsid w:val="00332C1D"/>
    <w:rsid w:val="00334046"/>
    <w:rsid w:val="0034339D"/>
    <w:rsid w:val="00353750"/>
    <w:rsid w:val="00355F34"/>
    <w:rsid w:val="00381998"/>
    <w:rsid w:val="003A6E85"/>
    <w:rsid w:val="003C2851"/>
    <w:rsid w:val="003D48A6"/>
    <w:rsid w:val="003D48E3"/>
    <w:rsid w:val="003E0060"/>
    <w:rsid w:val="00416F1B"/>
    <w:rsid w:val="00436E9D"/>
    <w:rsid w:val="0044081D"/>
    <w:rsid w:val="00445678"/>
    <w:rsid w:val="00457AF6"/>
    <w:rsid w:val="004629AD"/>
    <w:rsid w:val="00491EF2"/>
    <w:rsid w:val="004C04EC"/>
    <w:rsid w:val="004C184F"/>
    <w:rsid w:val="004E1982"/>
    <w:rsid w:val="004E1B34"/>
    <w:rsid w:val="004E21AD"/>
    <w:rsid w:val="00501239"/>
    <w:rsid w:val="005148E4"/>
    <w:rsid w:val="00521E08"/>
    <w:rsid w:val="00531216"/>
    <w:rsid w:val="00546F93"/>
    <w:rsid w:val="005B3EDC"/>
    <w:rsid w:val="005C49E7"/>
    <w:rsid w:val="005E3A61"/>
    <w:rsid w:val="005F5ED0"/>
    <w:rsid w:val="005F6802"/>
    <w:rsid w:val="00630609"/>
    <w:rsid w:val="006426D2"/>
    <w:rsid w:val="006453E5"/>
    <w:rsid w:val="006656A0"/>
    <w:rsid w:val="0067125C"/>
    <w:rsid w:val="00676AA4"/>
    <w:rsid w:val="00691847"/>
    <w:rsid w:val="006B4378"/>
    <w:rsid w:val="006F7915"/>
    <w:rsid w:val="00711336"/>
    <w:rsid w:val="007220A2"/>
    <w:rsid w:val="00725512"/>
    <w:rsid w:val="00727FD3"/>
    <w:rsid w:val="007319A9"/>
    <w:rsid w:val="00740584"/>
    <w:rsid w:val="00746B91"/>
    <w:rsid w:val="00751023"/>
    <w:rsid w:val="007C7FDB"/>
    <w:rsid w:val="007F58A1"/>
    <w:rsid w:val="008137F1"/>
    <w:rsid w:val="00836FF0"/>
    <w:rsid w:val="00850D02"/>
    <w:rsid w:val="0085622D"/>
    <w:rsid w:val="008674B8"/>
    <w:rsid w:val="00886751"/>
    <w:rsid w:val="008C7A2B"/>
    <w:rsid w:val="008D73AC"/>
    <w:rsid w:val="008F0694"/>
    <w:rsid w:val="009027BB"/>
    <w:rsid w:val="00913EDE"/>
    <w:rsid w:val="009209BB"/>
    <w:rsid w:val="0093048B"/>
    <w:rsid w:val="00931F3D"/>
    <w:rsid w:val="00952B47"/>
    <w:rsid w:val="00962BBA"/>
    <w:rsid w:val="00962C39"/>
    <w:rsid w:val="009A19C9"/>
    <w:rsid w:val="009E4F08"/>
    <w:rsid w:val="009F4D68"/>
    <w:rsid w:val="00A30C91"/>
    <w:rsid w:val="00A313D5"/>
    <w:rsid w:val="00A45A0A"/>
    <w:rsid w:val="00A508B1"/>
    <w:rsid w:val="00A51962"/>
    <w:rsid w:val="00A66A53"/>
    <w:rsid w:val="00A902F5"/>
    <w:rsid w:val="00AB78F6"/>
    <w:rsid w:val="00AD51E6"/>
    <w:rsid w:val="00AE2476"/>
    <w:rsid w:val="00AE5D31"/>
    <w:rsid w:val="00AF2949"/>
    <w:rsid w:val="00AF4739"/>
    <w:rsid w:val="00B524BC"/>
    <w:rsid w:val="00B73794"/>
    <w:rsid w:val="00B800EF"/>
    <w:rsid w:val="00B9286D"/>
    <w:rsid w:val="00B94A74"/>
    <w:rsid w:val="00BB6013"/>
    <w:rsid w:val="00BD389B"/>
    <w:rsid w:val="00BF6E1A"/>
    <w:rsid w:val="00BF7EDE"/>
    <w:rsid w:val="00C01CDF"/>
    <w:rsid w:val="00C05BD1"/>
    <w:rsid w:val="00C57B60"/>
    <w:rsid w:val="00C77A33"/>
    <w:rsid w:val="00C9505F"/>
    <w:rsid w:val="00C96BCD"/>
    <w:rsid w:val="00CB2E74"/>
    <w:rsid w:val="00CB3C8E"/>
    <w:rsid w:val="00CB6ECC"/>
    <w:rsid w:val="00CC7179"/>
    <w:rsid w:val="00CE3ABF"/>
    <w:rsid w:val="00CF4EEE"/>
    <w:rsid w:val="00D1337D"/>
    <w:rsid w:val="00D157F0"/>
    <w:rsid w:val="00D26033"/>
    <w:rsid w:val="00D40230"/>
    <w:rsid w:val="00D5008F"/>
    <w:rsid w:val="00D5456A"/>
    <w:rsid w:val="00D9137D"/>
    <w:rsid w:val="00D941AF"/>
    <w:rsid w:val="00DA5D43"/>
    <w:rsid w:val="00DC5CF9"/>
    <w:rsid w:val="00DC7B97"/>
    <w:rsid w:val="00DD560A"/>
    <w:rsid w:val="00DE4AB2"/>
    <w:rsid w:val="00DE6795"/>
    <w:rsid w:val="00E0503C"/>
    <w:rsid w:val="00E12FE4"/>
    <w:rsid w:val="00E34F0D"/>
    <w:rsid w:val="00E42562"/>
    <w:rsid w:val="00E52509"/>
    <w:rsid w:val="00E66B9E"/>
    <w:rsid w:val="00EE234B"/>
    <w:rsid w:val="00EE68F3"/>
    <w:rsid w:val="00F00BCC"/>
    <w:rsid w:val="00F037EA"/>
    <w:rsid w:val="00F04DAE"/>
    <w:rsid w:val="00F26C1B"/>
    <w:rsid w:val="00F30571"/>
    <w:rsid w:val="00F30DF3"/>
    <w:rsid w:val="00F36113"/>
    <w:rsid w:val="00F500EC"/>
    <w:rsid w:val="00F550EB"/>
    <w:rsid w:val="00F72274"/>
    <w:rsid w:val="00F776D1"/>
    <w:rsid w:val="00F96D61"/>
    <w:rsid w:val="00FE10AB"/>
    <w:rsid w:val="00FE644E"/>
    <w:rsid w:val="00FF4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8D52A"/>
  <w15:docId w15:val="{05EE229D-6924-42DD-86C2-768E2DEC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79"/>
    <w:rPr>
      <w:sz w:val="24"/>
    </w:rPr>
  </w:style>
  <w:style w:type="paragraph" w:styleId="Heading1">
    <w:name w:val="heading 1"/>
    <w:basedOn w:val="Normal"/>
    <w:next w:val="Normal"/>
    <w:qFormat/>
    <w:rsid w:val="00CC7179"/>
    <w:pPr>
      <w:keepNext/>
      <w:outlineLvl w:val="0"/>
    </w:pPr>
    <w:rPr>
      <w:b/>
      <w:bCs/>
      <w:sz w:val="22"/>
    </w:rPr>
  </w:style>
  <w:style w:type="paragraph" w:styleId="Heading2">
    <w:name w:val="heading 2"/>
    <w:basedOn w:val="Normal"/>
    <w:next w:val="Normal"/>
    <w:qFormat/>
    <w:rsid w:val="00CC71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179"/>
    <w:pPr>
      <w:tabs>
        <w:tab w:val="center" w:pos="4320"/>
        <w:tab w:val="right" w:pos="8640"/>
      </w:tabs>
    </w:pPr>
  </w:style>
  <w:style w:type="paragraph" w:styleId="Footer">
    <w:name w:val="footer"/>
    <w:basedOn w:val="Normal"/>
    <w:rsid w:val="00CC7179"/>
    <w:pPr>
      <w:tabs>
        <w:tab w:val="center" w:pos="4320"/>
        <w:tab w:val="right" w:pos="8640"/>
      </w:tabs>
    </w:pPr>
  </w:style>
  <w:style w:type="character" w:styleId="PageNumber">
    <w:name w:val="page number"/>
    <w:basedOn w:val="DefaultParagraphFont"/>
    <w:rsid w:val="00CC7179"/>
  </w:style>
  <w:style w:type="paragraph" w:styleId="BodyText">
    <w:name w:val="Body Text"/>
    <w:basedOn w:val="Normal"/>
    <w:rsid w:val="000D5C6A"/>
    <w:rPr>
      <w:sz w:val="22"/>
    </w:rPr>
  </w:style>
  <w:style w:type="paragraph" w:styleId="BalloonText">
    <w:name w:val="Balloon Text"/>
    <w:basedOn w:val="Normal"/>
    <w:link w:val="BalloonTextChar"/>
    <w:rsid w:val="00A30C91"/>
    <w:rPr>
      <w:rFonts w:ascii="Tahoma" w:hAnsi="Tahoma" w:cs="Tahoma"/>
      <w:sz w:val="16"/>
      <w:szCs w:val="16"/>
    </w:rPr>
  </w:style>
  <w:style w:type="character" w:customStyle="1" w:styleId="BalloonTextChar">
    <w:name w:val="Balloon Text Char"/>
    <w:basedOn w:val="DefaultParagraphFont"/>
    <w:link w:val="BalloonText"/>
    <w:rsid w:val="00A3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June 21, 2001</vt:lpstr>
    </vt:vector>
  </TitlesOfParts>
  <Company>Delphic Associates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2001</dc:title>
  <dc:creator>Heather</dc:creator>
  <cp:lastModifiedBy>user</cp:lastModifiedBy>
  <cp:revision>4</cp:revision>
  <cp:lastPrinted>2019-06-18T15:31:00Z</cp:lastPrinted>
  <dcterms:created xsi:type="dcterms:W3CDTF">2019-06-18T15:35:00Z</dcterms:created>
  <dcterms:modified xsi:type="dcterms:W3CDTF">2020-02-20T14:26:00Z</dcterms:modified>
</cp:coreProperties>
</file>