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CFB0" w14:textId="77777777" w:rsidR="00466FF2" w:rsidRPr="002D4B94" w:rsidRDefault="00466FF2" w:rsidP="005F625A">
      <w:pPr>
        <w:jc w:val="center"/>
      </w:pPr>
      <w:bookmarkStart w:id="0" w:name="_Hlk17796840"/>
      <w:bookmarkStart w:id="1" w:name="_GoBack"/>
      <w:bookmarkEnd w:id="1"/>
      <w:r w:rsidRPr="002D4B94">
        <w:t>HALIFAX BOARD OF SELECTMEN</w:t>
      </w:r>
    </w:p>
    <w:p w14:paraId="324294CA" w14:textId="77777777" w:rsidR="00466FF2" w:rsidRPr="002D4B94" w:rsidRDefault="00466FF2" w:rsidP="00466FF2">
      <w:pPr>
        <w:jc w:val="center"/>
      </w:pPr>
      <w:r w:rsidRPr="002D4B94">
        <w:t>EXECUTIVE SESSION</w:t>
      </w:r>
    </w:p>
    <w:p w14:paraId="3F52DAFB" w14:textId="3F36FDB9" w:rsidR="00466FF2" w:rsidRPr="002D4B94" w:rsidRDefault="00466FF2" w:rsidP="00466FF2">
      <w:pPr>
        <w:jc w:val="center"/>
      </w:pPr>
      <w:r w:rsidRPr="002D4B94">
        <w:t xml:space="preserve">TUESDAY, </w:t>
      </w:r>
      <w:r w:rsidR="0047209B" w:rsidRPr="002D4B94">
        <w:t>JU</w:t>
      </w:r>
      <w:r w:rsidR="002241D6" w:rsidRPr="002D4B94">
        <w:t>NE 25</w:t>
      </w:r>
      <w:r w:rsidRPr="002D4B94">
        <w:t xml:space="preserve">, 2019 – </w:t>
      </w:r>
      <w:r w:rsidR="00816C30" w:rsidRPr="002D4B94">
        <w:t>9:</w:t>
      </w:r>
      <w:r w:rsidR="002D4B94" w:rsidRPr="002D4B94">
        <w:t>10</w:t>
      </w:r>
      <w:r w:rsidRPr="002D4B94">
        <w:t xml:space="preserve"> P.M.</w:t>
      </w:r>
    </w:p>
    <w:p w14:paraId="01EF89A9" w14:textId="77777777" w:rsidR="00466FF2" w:rsidRPr="002D4B94" w:rsidRDefault="00466FF2" w:rsidP="00466FF2">
      <w:pPr>
        <w:jc w:val="center"/>
      </w:pPr>
      <w:r w:rsidRPr="002D4B94">
        <w:t>SELECTMEN MEETING ROOM</w:t>
      </w:r>
    </w:p>
    <w:p w14:paraId="5D80BD68" w14:textId="77777777" w:rsidR="00466FF2" w:rsidRPr="002D4B94" w:rsidRDefault="00466FF2" w:rsidP="00466FF2">
      <w:pPr>
        <w:jc w:val="center"/>
      </w:pPr>
      <w:r w:rsidRPr="002D4B94">
        <w:t>-------------------------------------------------------------</w:t>
      </w:r>
    </w:p>
    <w:p w14:paraId="3180BFC8" w14:textId="77777777" w:rsidR="005045AF" w:rsidRPr="005964FA" w:rsidRDefault="005045AF" w:rsidP="005045AF">
      <w:pPr>
        <w:rPr>
          <w:b/>
          <w:color w:val="FF0000"/>
          <w:sz w:val="23"/>
          <w:szCs w:val="23"/>
          <w:u w:val="single"/>
        </w:rPr>
      </w:pPr>
      <w:bookmarkStart w:id="2" w:name="_Hlk9515701"/>
    </w:p>
    <w:p w14:paraId="3F8EAAD8" w14:textId="5BF455F6" w:rsidR="005045AF" w:rsidRPr="002C73B6" w:rsidRDefault="002D4B94" w:rsidP="00FB3ED5">
      <w:pPr>
        <w:spacing w:after="120"/>
        <w:jc w:val="both"/>
      </w:pPr>
      <w:r w:rsidRPr="00F81FF6">
        <w:t>Moved by Millias and seconded by Andrews, the Board voted as follows to enter into Executive Session at 9:</w:t>
      </w:r>
      <w:r w:rsidR="00FB3ED5">
        <w:t>10</w:t>
      </w:r>
      <w:r w:rsidRPr="00F81FF6">
        <w:t xml:space="preserve"> p.m. to discuss </w:t>
      </w:r>
      <w:r w:rsidRPr="00F81FF6">
        <w:rPr>
          <w:rFonts w:eastAsia="Calibri"/>
        </w:rPr>
        <w:t>Waterman Grievances &amp; claims</w:t>
      </w:r>
      <w:r w:rsidRPr="00F81FF6">
        <w:t xml:space="preserve"> (</w:t>
      </w:r>
      <w:r w:rsidRPr="00F81FF6">
        <w:rPr>
          <w:rFonts w:eastAsia="Calibri"/>
        </w:rPr>
        <w:t>HEO wage, release of personal file documents, 2-week suspension &amp; termination)</w:t>
      </w:r>
      <w:r w:rsidRPr="00F81FF6">
        <w:t>, Negotiations Patrol Officers and Halifax v. Marble - under G.L. c.30A, §</w:t>
      </w:r>
      <w:r w:rsidRPr="004C2122">
        <w:t>21(a)(3) to discuss strategy</w:t>
      </w:r>
      <w:r w:rsidRPr="00365632">
        <w:t xml:space="preserve"> with respect to litigation regarding </w:t>
      </w:r>
      <w:r w:rsidRPr="002C73B6">
        <w:t xml:space="preserve">Town of Halifax, by and through its Building Commissioner v. Lawrence J. Marble Trustee of the </w:t>
      </w:r>
      <w:proofErr w:type="spellStart"/>
      <w:r w:rsidRPr="002C73B6">
        <w:t>Elbram</w:t>
      </w:r>
      <w:proofErr w:type="spellEnd"/>
      <w:r w:rsidRPr="002C73B6">
        <w:t xml:space="preserve"> Realty Trust, et al.; Land Court, Case No. 18 MISC 000682-HPS:</w:t>
      </w:r>
      <w:bookmarkStart w:id="3" w:name="_Hlk11174944"/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2C73B6" w:rsidRPr="002C73B6" w14:paraId="6222572E" w14:textId="77777777" w:rsidTr="00280C13">
        <w:tc>
          <w:tcPr>
            <w:tcW w:w="2160" w:type="dxa"/>
          </w:tcPr>
          <w:p w14:paraId="5F3D0625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Troy E. Garron</w:t>
            </w:r>
          </w:p>
        </w:tc>
        <w:tc>
          <w:tcPr>
            <w:tcW w:w="360" w:type="dxa"/>
          </w:tcPr>
          <w:p w14:paraId="4321A5F0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7CE7C29F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Yes</w:t>
            </w:r>
          </w:p>
        </w:tc>
      </w:tr>
      <w:tr w:rsidR="002C73B6" w:rsidRPr="002C73B6" w14:paraId="23F47125" w14:textId="77777777" w:rsidTr="00280C13">
        <w:tc>
          <w:tcPr>
            <w:tcW w:w="2160" w:type="dxa"/>
          </w:tcPr>
          <w:p w14:paraId="5A775EA5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Thomas Millias</w:t>
            </w:r>
          </w:p>
        </w:tc>
        <w:tc>
          <w:tcPr>
            <w:tcW w:w="360" w:type="dxa"/>
          </w:tcPr>
          <w:p w14:paraId="3076BF1A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568E1625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Yes</w:t>
            </w:r>
          </w:p>
        </w:tc>
      </w:tr>
      <w:tr w:rsidR="005045AF" w:rsidRPr="002C73B6" w14:paraId="660CB77C" w14:textId="77777777" w:rsidTr="00280C13">
        <w:tc>
          <w:tcPr>
            <w:tcW w:w="2160" w:type="dxa"/>
          </w:tcPr>
          <w:p w14:paraId="73A55AE6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Gordon C. Andrews</w:t>
            </w:r>
          </w:p>
        </w:tc>
        <w:tc>
          <w:tcPr>
            <w:tcW w:w="360" w:type="dxa"/>
          </w:tcPr>
          <w:p w14:paraId="299D2E2E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0E0161AC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Yes</w:t>
            </w:r>
          </w:p>
        </w:tc>
      </w:tr>
      <w:bookmarkEnd w:id="0"/>
      <w:bookmarkEnd w:id="2"/>
      <w:bookmarkEnd w:id="3"/>
    </w:tbl>
    <w:p w14:paraId="67254E33" w14:textId="77777777" w:rsidR="00A7696C" w:rsidRPr="002C73B6" w:rsidRDefault="00A7696C" w:rsidP="00D6387E">
      <w:pPr>
        <w:jc w:val="both"/>
      </w:pPr>
    </w:p>
    <w:p w14:paraId="19467EB2" w14:textId="208903B5" w:rsidR="00434C9A" w:rsidRPr="00A27595" w:rsidRDefault="00434C9A" w:rsidP="000B09C0">
      <w:pPr>
        <w:spacing w:after="60"/>
        <w:jc w:val="both"/>
        <w:rPr>
          <w:u w:val="single"/>
        </w:rPr>
      </w:pPr>
      <w:r w:rsidRPr="00A27595">
        <w:rPr>
          <w:u w:val="single"/>
        </w:rPr>
        <w:t>Patrol Officers Grievance</w:t>
      </w:r>
    </w:p>
    <w:p w14:paraId="435FF47F" w14:textId="60192DF1" w:rsidR="00EC2C82" w:rsidRPr="00A27595" w:rsidRDefault="00F13788" w:rsidP="000B09C0">
      <w:pPr>
        <w:spacing w:after="60"/>
        <w:jc w:val="both"/>
      </w:pPr>
      <w:r w:rsidRPr="00A27595">
        <w:t xml:space="preserve">As part of the anniversary/start date grievance </w:t>
      </w:r>
      <w:r w:rsidR="00F9449A" w:rsidRPr="00A27595">
        <w:t xml:space="preserve">there will be an impact on retroactive wages </w:t>
      </w:r>
      <w:r w:rsidR="00A9577A" w:rsidRPr="00A27595">
        <w:t>for O</w:t>
      </w:r>
      <w:r w:rsidR="003744CA" w:rsidRPr="00A27595">
        <w:t xml:space="preserve">fficer </w:t>
      </w:r>
      <w:r w:rsidR="00A65F24" w:rsidRPr="00A27595">
        <w:t>Simpson</w:t>
      </w:r>
      <w:r w:rsidR="003744CA" w:rsidRPr="00A27595">
        <w:t xml:space="preserve">, McIntyre, </w:t>
      </w:r>
      <w:proofErr w:type="spellStart"/>
      <w:r w:rsidR="003744CA" w:rsidRPr="00A27595">
        <w:t>DeRoo</w:t>
      </w:r>
      <w:proofErr w:type="spellEnd"/>
      <w:r w:rsidR="003744CA" w:rsidRPr="00A27595">
        <w:t xml:space="preserve"> and Cushman</w:t>
      </w:r>
      <w:r w:rsidR="0073349B" w:rsidRPr="00A27595">
        <w:t xml:space="preserve"> totaling </w:t>
      </w:r>
      <w:r w:rsidR="00A65F24" w:rsidRPr="00A27595">
        <w:t>$</w:t>
      </w:r>
      <w:r w:rsidR="0073349B" w:rsidRPr="00A27595">
        <w:t>13,510.</w:t>
      </w:r>
      <w:r w:rsidR="00A9577A" w:rsidRPr="00A27595">
        <w:t>1</w:t>
      </w:r>
      <w:r w:rsidR="0073349B" w:rsidRPr="00A27595">
        <w:t>9.</w:t>
      </w:r>
      <w:r w:rsidR="0058013E" w:rsidRPr="00A27595">
        <w:t xml:space="preserve">  </w:t>
      </w:r>
      <w:r w:rsidR="0073349B" w:rsidRPr="00A27595">
        <w:t xml:space="preserve">Seelig suggested that they might want </w:t>
      </w:r>
      <w:r w:rsidR="00535EDF" w:rsidRPr="00A27595">
        <w:t>to</w:t>
      </w:r>
      <w:r w:rsidR="0073349B" w:rsidRPr="00A27595">
        <w:t xml:space="preserve"> continue the </w:t>
      </w:r>
      <w:r w:rsidR="00A65F24" w:rsidRPr="00A27595">
        <w:t>grievance and</w:t>
      </w:r>
      <w:r w:rsidR="0073349B" w:rsidRPr="00A27595">
        <w:t xml:space="preserve"> have them </w:t>
      </w:r>
      <w:r w:rsidR="00F9449A" w:rsidRPr="00A27595">
        <w:t xml:space="preserve">along with Attorney Gilman </w:t>
      </w:r>
      <w:r w:rsidR="0073349B" w:rsidRPr="00A27595">
        <w:t xml:space="preserve">come </w:t>
      </w:r>
      <w:r w:rsidR="00A65F24" w:rsidRPr="00A27595">
        <w:t>in on</w:t>
      </w:r>
      <w:r w:rsidR="00C0616C" w:rsidRPr="00A27595">
        <w:t xml:space="preserve"> July 9</w:t>
      </w:r>
      <w:r w:rsidR="00C0616C" w:rsidRPr="00A27595">
        <w:rPr>
          <w:vertAlign w:val="superscript"/>
        </w:rPr>
        <w:t>th</w:t>
      </w:r>
      <w:r w:rsidR="008775C6" w:rsidRPr="00A27595">
        <w:t xml:space="preserve">.  </w:t>
      </w:r>
      <w:r w:rsidR="00535EDF" w:rsidRPr="00A27595">
        <w:t xml:space="preserve">If </w:t>
      </w:r>
      <w:r w:rsidR="008775C6" w:rsidRPr="00A27595">
        <w:t xml:space="preserve">it was to </w:t>
      </w:r>
      <w:r w:rsidR="00535EDF" w:rsidRPr="00A27595">
        <w:t xml:space="preserve">go </w:t>
      </w:r>
      <w:r w:rsidR="008775C6" w:rsidRPr="00A27595">
        <w:t xml:space="preserve">to </w:t>
      </w:r>
      <w:r w:rsidR="00A9577A" w:rsidRPr="00A27595">
        <w:t>arbitration,</w:t>
      </w:r>
      <w:r w:rsidR="00535EDF" w:rsidRPr="00A27595">
        <w:t xml:space="preserve"> </w:t>
      </w:r>
      <w:r w:rsidR="00193BD8" w:rsidRPr="00A27595">
        <w:t>the town would</w:t>
      </w:r>
      <w:r w:rsidR="00535EDF" w:rsidRPr="00A27595">
        <w:t xml:space="preserve"> be spending</w:t>
      </w:r>
      <w:r w:rsidR="0073349B" w:rsidRPr="00A27595">
        <w:t xml:space="preserve"> </w:t>
      </w:r>
      <w:r w:rsidR="00A65F24" w:rsidRPr="00A27595">
        <w:t>$</w:t>
      </w:r>
      <w:r w:rsidR="00782279" w:rsidRPr="00A27595">
        <w:t>10,000 on attorney’s fees</w:t>
      </w:r>
      <w:r w:rsidR="00964DDE" w:rsidRPr="00A27595">
        <w:t xml:space="preserve"> </w:t>
      </w:r>
      <w:r w:rsidR="00193BD8" w:rsidRPr="00A27595">
        <w:t>along with $13,510.19 owed</w:t>
      </w:r>
      <w:r w:rsidR="00964DDE" w:rsidRPr="00A27595">
        <w:t xml:space="preserve"> to the officers.</w:t>
      </w:r>
      <w:r w:rsidR="00E43E63" w:rsidRPr="00A27595">
        <w:t xml:space="preserve">  Seelig will talk with Attorney Gilman about what the town’s position is on this. </w:t>
      </w:r>
    </w:p>
    <w:p w14:paraId="4FAB88AB" w14:textId="77777777" w:rsidR="005045AF" w:rsidRPr="00F809A0" w:rsidRDefault="005045AF" w:rsidP="00487937">
      <w:pPr>
        <w:pStyle w:val="NoSpacing"/>
        <w:jc w:val="both"/>
      </w:pPr>
    </w:p>
    <w:p w14:paraId="323A80CB" w14:textId="6316D7E2" w:rsidR="005045AF" w:rsidRPr="00434C9A" w:rsidRDefault="005045AF" w:rsidP="005045AF">
      <w:pPr>
        <w:pStyle w:val="NoSpacing"/>
        <w:spacing w:after="120"/>
        <w:jc w:val="both"/>
        <w:rPr>
          <w:sz w:val="23"/>
          <w:szCs w:val="23"/>
        </w:rPr>
      </w:pPr>
      <w:r w:rsidRPr="00434C9A">
        <w:rPr>
          <w:sz w:val="23"/>
          <w:szCs w:val="23"/>
        </w:rPr>
        <w:t xml:space="preserve">Moved by </w:t>
      </w:r>
      <w:bookmarkStart w:id="4" w:name="_Hlk14434710"/>
      <w:r w:rsidR="00434C9A" w:rsidRPr="00434C9A">
        <w:rPr>
          <w:sz w:val="23"/>
          <w:szCs w:val="23"/>
        </w:rPr>
        <w:t>Garron</w:t>
      </w:r>
      <w:r w:rsidRPr="00434C9A">
        <w:rPr>
          <w:sz w:val="23"/>
          <w:szCs w:val="23"/>
        </w:rPr>
        <w:t xml:space="preserve"> and seconded by Millias</w:t>
      </w:r>
      <w:bookmarkEnd w:id="4"/>
      <w:r w:rsidRPr="00434C9A">
        <w:rPr>
          <w:sz w:val="23"/>
          <w:szCs w:val="23"/>
        </w:rPr>
        <w:t>, the Board voted as follows to come out of Executive Session at 9:4</w:t>
      </w:r>
      <w:r w:rsidR="00434C9A" w:rsidRPr="00434C9A">
        <w:rPr>
          <w:sz w:val="23"/>
          <w:szCs w:val="23"/>
        </w:rPr>
        <w:t>3</w:t>
      </w:r>
      <w:r w:rsidRPr="00434C9A">
        <w:rPr>
          <w:sz w:val="23"/>
          <w:szCs w:val="23"/>
        </w:rPr>
        <w:t xml:space="preserve">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434C9A" w:rsidRPr="00434C9A" w14:paraId="56E55AFF" w14:textId="77777777" w:rsidTr="00280C13">
        <w:tc>
          <w:tcPr>
            <w:tcW w:w="2160" w:type="dxa"/>
          </w:tcPr>
          <w:p w14:paraId="096BCCC8" w14:textId="77777777" w:rsidR="005045AF" w:rsidRPr="00434C9A" w:rsidRDefault="005045AF" w:rsidP="00280C13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434C9A">
              <w:rPr>
                <w:sz w:val="23"/>
                <w:szCs w:val="23"/>
              </w:rPr>
              <w:t>Troy E. Garron</w:t>
            </w:r>
          </w:p>
        </w:tc>
        <w:tc>
          <w:tcPr>
            <w:tcW w:w="360" w:type="dxa"/>
          </w:tcPr>
          <w:p w14:paraId="079BD0C1" w14:textId="77777777" w:rsidR="005045AF" w:rsidRPr="00434C9A" w:rsidRDefault="005045AF" w:rsidP="00280C13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434C9A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7FA42326" w14:textId="77777777" w:rsidR="005045AF" w:rsidRPr="00434C9A" w:rsidRDefault="005045AF" w:rsidP="00280C13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434C9A">
              <w:rPr>
                <w:sz w:val="23"/>
                <w:szCs w:val="23"/>
              </w:rPr>
              <w:t>Yes</w:t>
            </w:r>
          </w:p>
        </w:tc>
      </w:tr>
      <w:tr w:rsidR="00434C9A" w:rsidRPr="00434C9A" w14:paraId="58A18554" w14:textId="77777777" w:rsidTr="00280C13">
        <w:tc>
          <w:tcPr>
            <w:tcW w:w="2160" w:type="dxa"/>
          </w:tcPr>
          <w:p w14:paraId="37E0BB95" w14:textId="77777777" w:rsidR="005045AF" w:rsidRPr="00434C9A" w:rsidRDefault="005045AF" w:rsidP="00280C13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434C9A">
              <w:rPr>
                <w:sz w:val="23"/>
                <w:szCs w:val="23"/>
              </w:rPr>
              <w:t>Thomas Millias</w:t>
            </w:r>
          </w:p>
        </w:tc>
        <w:tc>
          <w:tcPr>
            <w:tcW w:w="360" w:type="dxa"/>
          </w:tcPr>
          <w:p w14:paraId="43891FE4" w14:textId="77777777" w:rsidR="005045AF" w:rsidRPr="00434C9A" w:rsidRDefault="005045AF" w:rsidP="00280C13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434C9A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7E9942B8" w14:textId="77777777" w:rsidR="005045AF" w:rsidRPr="00434C9A" w:rsidRDefault="005045AF" w:rsidP="00280C13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434C9A">
              <w:rPr>
                <w:sz w:val="23"/>
                <w:szCs w:val="23"/>
              </w:rPr>
              <w:t>Yes</w:t>
            </w:r>
          </w:p>
        </w:tc>
      </w:tr>
      <w:tr w:rsidR="005045AF" w:rsidRPr="00434C9A" w14:paraId="18C1A27E" w14:textId="77777777" w:rsidTr="00280C13">
        <w:tc>
          <w:tcPr>
            <w:tcW w:w="2160" w:type="dxa"/>
          </w:tcPr>
          <w:p w14:paraId="4784C45A" w14:textId="77777777" w:rsidR="005045AF" w:rsidRPr="00434C9A" w:rsidRDefault="005045AF" w:rsidP="00280C13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434C9A">
              <w:rPr>
                <w:sz w:val="23"/>
                <w:szCs w:val="23"/>
              </w:rPr>
              <w:t>Gordon C. Andrews</w:t>
            </w:r>
          </w:p>
        </w:tc>
        <w:tc>
          <w:tcPr>
            <w:tcW w:w="360" w:type="dxa"/>
          </w:tcPr>
          <w:p w14:paraId="4B6D8C8F" w14:textId="77777777" w:rsidR="005045AF" w:rsidRPr="00434C9A" w:rsidRDefault="005045AF" w:rsidP="00280C13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434C9A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44B617F3" w14:textId="77777777" w:rsidR="005045AF" w:rsidRPr="00434C9A" w:rsidRDefault="005045AF" w:rsidP="00280C13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434C9A">
              <w:rPr>
                <w:sz w:val="23"/>
                <w:szCs w:val="23"/>
              </w:rPr>
              <w:t>Yes</w:t>
            </w:r>
          </w:p>
        </w:tc>
      </w:tr>
    </w:tbl>
    <w:p w14:paraId="57836DC0" w14:textId="77777777" w:rsidR="005045AF" w:rsidRPr="00434C9A" w:rsidRDefault="005045AF" w:rsidP="005045AF">
      <w:pPr>
        <w:jc w:val="both"/>
        <w:rPr>
          <w:sz w:val="23"/>
          <w:szCs w:val="23"/>
        </w:rPr>
      </w:pPr>
    </w:p>
    <w:p w14:paraId="5A6AA72E" w14:textId="77777777" w:rsidR="005045AF" w:rsidRPr="00434C9A" w:rsidRDefault="005045AF" w:rsidP="00674137">
      <w:pPr>
        <w:pStyle w:val="NoSpacing"/>
        <w:spacing w:after="120"/>
        <w:jc w:val="both"/>
      </w:pPr>
    </w:p>
    <w:p w14:paraId="35AF3632" w14:textId="77777777" w:rsidR="005045AF" w:rsidRPr="00434C9A" w:rsidRDefault="005045AF" w:rsidP="00674137">
      <w:pPr>
        <w:pStyle w:val="NoSpacing"/>
        <w:spacing w:after="120"/>
        <w:jc w:val="both"/>
      </w:pPr>
    </w:p>
    <w:p w14:paraId="2A98434F" w14:textId="77777777" w:rsidR="006807D9" w:rsidRPr="00434C9A" w:rsidRDefault="006807D9" w:rsidP="00A3627C">
      <w:pPr>
        <w:spacing w:after="120"/>
        <w:jc w:val="both"/>
      </w:pPr>
    </w:p>
    <w:p w14:paraId="466DF8C5" w14:textId="77777777" w:rsidR="009574AB" w:rsidRPr="00434C9A" w:rsidRDefault="009574AB" w:rsidP="009574AB">
      <w:pPr>
        <w:jc w:val="both"/>
      </w:pPr>
      <w:r w:rsidRPr="00434C9A">
        <w:t>-------------------------------------------------</w:t>
      </w:r>
    </w:p>
    <w:p w14:paraId="03ED6BB8" w14:textId="15CBA34C" w:rsidR="009574AB" w:rsidRPr="00434C9A" w:rsidRDefault="00A721D1" w:rsidP="009574AB">
      <w:pPr>
        <w:jc w:val="both"/>
      </w:pPr>
      <w:r w:rsidRPr="00434C9A">
        <w:t>Gordon C. Andrews</w:t>
      </w:r>
    </w:p>
    <w:p w14:paraId="464A36A1" w14:textId="02D9DDAB" w:rsidR="009574AB" w:rsidRPr="00434C9A" w:rsidRDefault="00A721D1" w:rsidP="00A3627C">
      <w:pPr>
        <w:pStyle w:val="NoSpacing"/>
        <w:spacing w:after="120"/>
      </w:pPr>
      <w:r w:rsidRPr="00434C9A">
        <w:t>Clerk</w:t>
      </w:r>
    </w:p>
    <w:p w14:paraId="2522FE84" w14:textId="2883D91B" w:rsidR="00EC4A92" w:rsidRPr="00434C9A" w:rsidRDefault="009574AB" w:rsidP="007D1560">
      <w:pPr>
        <w:pStyle w:val="NoSpacing"/>
      </w:pPr>
      <w:r w:rsidRPr="00434C9A">
        <w:t>/</w:t>
      </w:r>
      <w:proofErr w:type="spellStart"/>
      <w:r w:rsidRPr="00434C9A">
        <w:t>pjm</w:t>
      </w:r>
      <w:proofErr w:type="spellEnd"/>
    </w:p>
    <w:sectPr w:rsidR="00EC4A92" w:rsidRPr="00434C9A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5550A"/>
    <w:multiLevelType w:val="hybridMultilevel"/>
    <w:tmpl w:val="08D0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2577D"/>
    <w:rsid w:val="00031750"/>
    <w:rsid w:val="0003503F"/>
    <w:rsid w:val="00036AE2"/>
    <w:rsid w:val="000447AA"/>
    <w:rsid w:val="00047CCA"/>
    <w:rsid w:val="00050852"/>
    <w:rsid w:val="00054D41"/>
    <w:rsid w:val="00073619"/>
    <w:rsid w:val="000771DB"/>
    <w:rsid w:val="00086C02"/>
    <w:rsid w:val="00091CCA"/>
    <w:rsid w:val="00092BE5"/>
    <w:rsid w:val="000A523E"/>
    <w:rsid w:val="000A77B6"/>
    <w:rsid w:val="000B09C0"/>
    <w:rsid w:val="000C400F"/>
    <w:rsid w:val="000D5D35"/>
    <w:rsid w:val="000D6744"/>
    <w:rsid w:val="000E63B3"/>
    <w:rsid w:val="000F03E0"/>
    <w:rsid w:val="001117A5"/>
    <w:rsid w:val="0011405E"/>
    <w:rsid w:val="00120CC5"/>
    <w:rsid w:val="00127F99"/>
    <w:rsid w:val="0013676E"/>
    <w:rsid w:val="00143826"/>
    <w:rsid w:val="0015395E"/>
    <w:rsid w:val="0017518E"/>
    <w:rsid w:val="00175C8E"/>
    <w:rsid w:val="00176E36"/>
    <w:rsid w:val="001807B3"/>
    <w:rsid w:val="001812A2"/>
    <w:rsid w:val="001817AB"/>
    <w:rsid w:val="00183A84"/>
    <w:rsid w:val="00193BD8"/>
    <w:rsid w:val="00196725"/>
    <w:rsid w:val="001C20CF"/>
    <w:rsid w:val="001F39BF"/>
    <w:rsid w:val="002055BA"/>
    <w:rsid w:val="00211BCB"/>
    <w:rsid w:val="00213323"/>
    <w:rsid w:val="002241D6"/>
    <w:rsid w:val="002418A6"/>
    <w:rsid w:val="00252F40"/>
    <w:rsid w:val="00256CF0"/>
    <w:rsid w:val="00262764"/>
    <w:rsid w:val="002649C8"/>
    <w:rsid w:val="002A0493"/>
    <w:rsid w:val="002A2152"/>
    <w:rsid w:val="002B4E3A"/>
    <w:rsid w:val="002C1FC4"/>
    <w:rsid w:val="002C4EC2"/>
    <w:rsid w:val="002C6ADA"/>
    <w:rsid w:val="002C73B6"/>
    <w:rsid w:val="002D4B94"/>
    <w:rsid w:val="002D54D7"/>
    <w:rsid w:val="002E5165"/>
    <w:rsid w:val="002E62B7"/>
    <w:rsid w:val="002F1198"/>
    <w:rsid w:val="002F3A22"/>
    <w:rsid w:val="002F70FB"/>
    <w:rsid w:val="003024BA"/>
    <w:rsid w:val="0030415E"/>
    <w:rsid w:val="00304983"/>
    <w:rsid w:val="0031654F"/>
    <w:rsid w:val="00320A4D"/>
    <w:rsid w:val="00331063"/>
    <w:rsid w:val="00335767"/>
    <w:rsid w:val="00343638"/>
    <w:rsid w:val="00345434"/>
    <w:rsid w:val="00355A0B"/>
    <w:rsid w:val="00355F8B"/>
    <w:rsid w:val="003664C9"/>
    <w:rsid w:val="003744CA"/>
    <w:rsid w:val="00375C3E"/>
    <w:rsid w:val="00385487"/>
    <w:rsid w:val="00387DDE"/>
    <w:rsid w:val="00391489"/>
    <w:rsid w:val="00394EF7"/>
    <w:rsid w:val="003B5696"/>
    <w:rsid w:val="003D0C4E"/>
    <w:rsid w:val="003E06C8"/>
    <w:rsid w:val="003F04E7"/>
    <w:rsid w:val="00400930"/>
    <w:rsid w:val="00421F5F"/>
    <w:rsid w:val="00426493"/>
    <w:rsid w:val="004314A2"/>
    <w:rsid w:val="004347A1"/>
    <w:rsid w:val="00434C9A"/>
    <w:rsid w:val="00435B84"/>
    <w:rsid w:val="0044417C"/>
    <w:rsid w:val="0045396A"/>
    <w:rsid w:val="004669DA"/>
    <w:rsid w:val="00466FF2"/>
    <w:rsid w:val="00467B67"/>
    <w:rsid w:val="0047209B"/>
    <w:rsid w:val="004722DD"/>
    <w:rsid w:val="00472E9D"/>
    <w:rsid w:val="00474317"/>
    <w:rsid w:val="0047584C"/>
    <w:rsid w:val="00482F9A"/>
    <w:rsid w:val="0048582E"/>
    <w:rsid w:val="00487937"/>
    <w:rsid w:val="004A33CB"/>
    <w:rsid w:val="004C5552"/>
    <w:rsid w:val="004C6E52"/>
    <w:rsid w:val="004D4A3A"/>
    <w:rsid w:val="004E0980"/>
    <w:rsid w:val="004E757B"/>
    <w:rsid w:val="004E78E1"/>
    <w:rsid w:val="00500A03"/>
    <w:rsid w:val="00502F56"/>
    <w:rsid w:val="005045AF"/>
    <w:rsid w:val="00507452"/>
    <w:rsid w:val="0052474F"/>
    <w:rsid w:val="00535EDF"/>
    <w:rsid w:val="0057439D"/>
    <w:rsid w:val="0058013E"/>
    <w:rsid w:val="0058103D"/>
    <w:rsid w:val="005964FA"/>
    <w:rsid w:val="005A60E2"/>
    <w:rsid w:val="005B0809"/>
    <w:rsid w:val="005C2383"/>
    <w:rsid w:val="005D367F"/>
    <w:rsid w:val="005E03DD"/>
    <w:rsid w:val="005E10A6"/>
    <w:rsid w:val="005E1265"/>
    <w:rsid w:val="005E2C3F"/>
    <w:rsid w:val="005F625A"/>
    <w:rsid w:val="005F676E"/>
    <w:rsid w:val="00600A61"/>
    <w:rsid w:val="0060229E"/>
    <w:rsid w:val="00616E20"/>
    <w:rsid w:val="00617A3C"/>
    <w:rsid w:val="006329BA"/>
    <w:rsid w:val="006422B2"/>
    <w:rsid w:val="00642737"/>
    <w:rsid w:val="00652376"/>
    <w:rsid w:val="00656873"/>
    <w:rsid w:val="00665C26"/>
    <w:rsid w:val="006723BE"/>
    <w:rsid w:val="00674137"/>
    <w:rsid w:val="006807D9"/>
    <w:rsid w:val="00683820"/>
    <w:rsid w:val="00691A8F"/>
    <w:rsid w:val="006A0E1E"/>
    <w:rsid w:val="006A12B6"/>
    <w:rsid w:val="006A1FB8"/>
    <w:rsid w:val="006A3454"/>
    <w:rsid w:val="006D0491"/>
    <w:rsid w:val="006D5475"/>
    <w:rsid w:val="006E3E77"/>
    <w:rsid w:val="006F617B"/>
    <w:rsid w:val="007009A6"/>
    <w:rsid w:val="00701FB6"/>
    <w:rsid w:val="00705110"/>
    <w:rsid w:val="00720A15"/>
    <w:rsid w:val="00725F89"/>
    <w:rsid w:val="0072703B"/>
    <w:rsid w:val="0073349B"/>
    <w:rsid w:val="0074568A"/>
    <w:rsid w:val="00753C72"/>
    <w:rsid w:val="0076360B"/>
    <w:rsid w:val="007819B8"/>
    <w:rsid w:val="00782279"/>
    <w:rsid w:val="0079334F"/>
    <w:rsid w:val="007A2F7E"/>
    <w:rsid w:val="007A7CB7"/>
    <w:rsid w:val="007B0B7A"/>
    <w:rsid w:val="007C6163"/>
    <w:rsid w:val="007D1560"/>
    <w:rsid w:val="007D3FE5"/>
    <w:rsid w:val="007E4908"/>
    <w:rsid w:val="007E7941"/>
    <w:rsid w:val="007F4C4F"/>
    <w:rsid w:val="00811973"/>
    <w:rsid w:val="008128FF"/>
    <w:rsid w:val="0081358B"/>
    <w:rsid w:val="00816C30"/>
    <w:rsid w:val="0082683A"/>
    <w:rsid w:val="00831A14"/>
    <w:rsid w:val="00832125"/>
    <w:rsid w:val="00850340"/>
    <w:rsid w:val="00857F1E"/>
    <w:rsid w:val="008679B1"/>
    <w:rsid w:val="008775C6"/>
    <w:rsid w:val="008A014D"/>
    <w:rsid w:val="008A253B"/>
    <w:rsid w:val="008A596B"/>
    <w:rsid w:val="008B3C00"/>
    <w:rsid w:val="008C2577"/>
    <w:rsid w:val="008C6B44"/>
    <w:rsid w:val="008D2F48"/>
    <w:rsid w:val="008E1624"/>
    <w:rsid w:val="008E35B3"/>
    <w:rsid w:val="008F1620"/>
    <w:rsid w:val="008F543A"/>
    <w:rsid w:val="009114A4"/>
    <w:rsid w:val="009122AD"/>
    <w:rsid w:val="009169F8"/>
    <w:rsid w:val="00922D15"/>
    <w:rsid w:val="00925328"/>
    <w:rsid w:val="009574AB"/>
    <w:rsid w:val="00961749"/>
    <w:rsid w:val="00964DDE"/>
    <w:rsid w:val="00966C00"/>
    <w:rsid w:val="00971E9D"/>
    <w:rsid w:val="009752A3"/>
    <w:rsid w:val="0097606C"/>
    <w:rsid w:val="00993179"/>
    <w:rsid w:val="00993AF9"/>
    <w:rsid w:val="00996FAF"/>
    <w:rsid w:val="009A008F"/>
    <w:rsid w:val="009D47DB"/>
    <w:rsid w:val="009D76D9"/>
    <w:rsid w:val="009E6FCE"/>
    <w:rsid w:val="009E7F32"/>
    <w:rsid w:val="00A009E2"/>
    <w:rsid w:val="00A012C1"/>
    <w:rsid w:val="00A11F1F"/>
    <w:rsid w:val="00A21F40"/>
    <w:rsid w:val="00A27595"/>
    <w:rsid w:val="00A35219"/>
    <w:rsid w:val="00A3627C"/>
    <w:rsid w:val="00A371E8"/>
    <w:rsid w:val="00A43EBB"/>
    <w:rsid w:val="00A57775"/>
    <w:rsid w:val="00A6012B"/>
    <w:rsid w:val="00A65F24"/>
    <w:rsid w:val="00A70E2F"/>
    <w:rsid w:val="00A721D1"/>
    <w:rsid w:val="00A72D7A"/>
    <w:rsid w:val="00A73C12"/>
    <w:rsid w:val="00A7696C"/>
    <w:rsid w:val="00A876AA"/>
    <w:rsid w:val="00A9577A"/>
    <w:rsid w:val="00A960BE"/>
    <w:rsid w:val="00AC4F75"/>
    <w:rsid w:val="00AC5A20"/>
    <w:rsid w:val="00AC7237"/>
    <w:rsid w:val="00AD1711"/>
    <w:rsid w:val="00AE29E7"/>
    <w:rsid w:val="00AE3843"/>
    <w:rsid w:val="00AE6BF6"/>
    <w:rsid w:val="00AF551D"/>
    <w:rsid w:val="00B22CF2"/>
    <w:rsid w:val="00B25188"/>
    <w:rsid w:val="00B25B6C"/>
    <w:rsid w:val="00B27A0E"/>
    <w:rsid w:val="00B30020"/>
    <w:rsid w:val="00B35C6F"/>
    <w:rsid w:val="00B466EC"/>
    <w:rsid w:val="00B46E40"/>
    <w:rsid w:val="00B57407"/>
    <w:rsid w:val="00B6457F"/>
    <w:rsid w:val="00B76104"/>
    <w:rsid w:val="00B77418"/>
    <w:rsid w:val="00B847A9"/>
    <w:rsid w:val="00B910B0"/>
    <w:rsid w:val="00BB0FC9"/>
    <w:rsid w:val="00BB4780"/>
    <w:rsid w:val="00BC1009"/>
    <w:rsid w:val="00BD7022"/>
    <w:rsid w:val="00BF6928"/>
    <w:rsid w:val="00C0616C"/>
    <w:rsid w:val="00C10A01"/>
    <w:rsid w:val="00C153A0"/>
    <w:rsid w:val="00C25F3E"/>
    <w:rsid w:val="00C413D9"/>
    <w:rsid w:val="00C43A7B"/>
    <w:rsid w:val="00C446C1"/>
    <w:rsid w:val="00C46289"/>
    <w:rsid w:val="00C472DC"/>
    <w:rsid w:val="00C5137D"/>
    <w:rsid w:val="00C60B59"/>
    <w:rsid w:val="00C70492"/>
    <w:rsid w:val="00C72C74"/>
    <w:rsid w:val="00C738D1"/>
    <w:rsid w:val="00C8218D"/>
    <w:rsid w:val="00C90E79"/>
    <w:rsid w:val="00C97D42"/>
    <w:rsid w:val="00CB091A"/>
    <w:rsid w:val="00CC25FC"/>
    <w:rsid w:val="00CD4613"/>
    <w:rsid w:val="00CD7735"/>
    <w:rsid w:val="00CE22D2"/>
    <w:rsid w:val="00CE5D17"/>
    <w:rsid w:val="00CF3778"/>
    <w:rsid w:val="00CF7448"/>
    <w:rsid w:val="00D0620C"/>
    <w:rsid w:val="00D123EC"/>
    <w:rsid w:val="00D15DC7"/>
    <w:rsid w:val="00D32B74"/>
    <w:rsid w:val="00D479C4"/>
    <w:rsid w:val="00D53444"/>
    <w:rsid w:val="00D6387E"/>
    <w:rsid w:val="00D7684C"/>
    <w:rsid w:val="00D8760C"/>
    <w:rsid w:val="00DA7A80"/>
    <w:rsid w:val="00DA7C21"/>
    <w:rsid w:val="00DB2B51"/>
    <w:rsid w:val="00DB453D"/>
    <w:rsid w:val="00DC3DC2"/>
    <w:rsid w:val="00DC7069"/>
    <w:rsid w:val="00DD622C"/>
    <w:rsid w:val="00DD6EF4"/>
    <w:rsid w:val="00DE0464"/>
    <w:rsid w:val="00DE4C32"/>
    <w:rsid w:val="00DF7534"/>
    <w:rsid w:val="00E03BD8"/>
    <w:rsid w:val="00E11651"/>
    <w:rsid w:val="00E1386D"/>
    <w:rsid w:val="00E172D0"/>
    <w:rsid w:val="00E23ECC"/>
    <w:rsid w:val="00E27B18"/>
    <w:rsid w:val="00E41732"/>
    <w:rsid w:val="00E43E63"/>
    <w:rsid w:val="00E82579"/>
    <w:rsid w:val="00E9435A"/>
    <w:rsid w:val="00EA4AF7"/>
    <w:rsid w:val="00EC2C82"/>
    <w:rsid w:val="00EC2E16"/>
    <w:rsid w:val="00EC4A92"/>
    <w:rsid w:val="00ED026B"/>
    <w:rsid w:val="00ED1A2B"/>
    <w:rsid w:val="00ED7408"/>
    <w:rsid w:val="00EF288B"/>
    <w:rsid w:val="00F13788"/>
    <w:rsid w:val="00F1653B"/>
    <w:rsid w:val="00F25D7F"/>
    <w:rsid w:val="00F3273C"/>
    <w:rsid w:val="00F50EA3"/>
    <w:rsid w:val="00F809A0"/>
    <w:rsid w:val="00F82075"/>
    <w:rsid w:val="00F90D97"/>
    <w:rsid w:val="00F9449A"/>
    <w:rsid w:val="00FA3F6C"/>
    <w:rsid w:val="00FB3ED5"/>
    <w:rsid w:val="00FB44E9"/>
    <w:rsid w:val="00FB536E"/>
    <w:rsid w:val="00FC076C"/>
    <w:rsid w:val="00FC58F6"/>
    <w:rsid w:val="00FD7C22"/>
    <w:rsid w:val="00FE3D13"/>
    <w:rsid w:val="00FE6E6D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45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45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2019-12-03T21:55:00Z</dcterms:created>
  <dcterms:modified xsi:type="dcterms:W3CDTF">2019-12-03T21:55:00Z</dcterms:modified>
</cp:coreProperties>
</file>